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CE" w:rsidRDefault="00E950CE">
      <w:pPr>
        <w:spacing w:after="0" w:line="240" w:lineRule="auto"/>
        <w:jc w:val="center"/>
        <w:rPr>
          <w:color w:val="F82D2D"/>
          <w:sz w:val="28"/>
          <w:szCs w:val="28"/>
        </w:rPr>
      </w:pPr>
    </w:p>
    <w:p w:rsidR="00E950CE" w:rsidRDefault="00A2628B">
      <w:pPr>
        <w:spacing w:after="0" w:line="240" w:lineRule="auto"/>
        <w:jc w:val="center"/>
        <w:rPr>
          <w:color w:val="2A556E"/>
          <w:sz w:val="28"/>
          <w:szCs w:val="28"/>
        </w:rPr>
      </w:pPr>
      <w:r>
        <w:rPr>
          <w:color w:val="F82D2D"/>
          <w:sz w:val="28"/>
          <w:szCs w:val="28"/>
        </w:rPr>
        <w:t xml:space="preserve">FICHE 10 / </w:t>
      </w:r>
      <w:r>
        <w:rPr>
          <w:color w:val="2A556E"/>
          <w:sz w:val="28"/>
          <w:szCs w:val="28"/>
        </w:rPr>
        <w:t>L’ESSENTIEL SUR…</w:t>
      </w:r>
    </w:p>
    <w:p w:rsidR="00E950CE" w:rsidRDefault="00E950CE">
      <w:pPr>
        <w:spacing w:after="0" w:line="259" w:lineRule="auto"/>
        <w:jc w:val="center"/>
        <w:rPr>
          <w:b/>
          <w:color w:val="3D566E"/>
          <w:sz w:val="36"/>
          <w:szCs w:val="36"/>
        </w:rPr>
      </w:pPr>
    </w:p>
    <w:p w:rsidR="00E950CE" w:rsidRDefault="00A2628B">
      <w:pPr>
        <w:spacing w:after="0" w:line="259" w:lineRule="auto"/>
        <w:jc w:val="center"/>
        <w:rPr>
          <w:b/>
          <w:color w:val="3D566E"/>
          <w:sz w:val="36"/>
          <w:szCs w:val="36"/>
        </w:rPr>
      </w:pPr>
      <w:bookmarkStart w:id="0" w:name="_GoBack"/>
      <w:r>
        <w:rPr>
          <w:b/>
          <w:color w:val="3D566E"/>
          <w:sz w:val="36"/>
          <w:szCs w:val="36"/>
        </w:rPr>
        <w:t>Formuler un vœu « PACES Ile-de-France »</w:t>
      </w:r>
    </w:p>
    <w:bookmarkEnd w:id="0"/>
    <w:p w:rsidR="00E950CE" w:rsidRDefault="00E950CE">
      <w:pPr>
        <w:spacing w:after="0" w:line="259" w:lineRule="auto"/>
        <w:jc w:val="both"/>
        <w:rPr>
          <w:sz w:val="24"/>
          <w:szCs w:val="24"/>
        </w:rPr>
      </w:pPr>
    </w:p>
    <w:p w:rsidR="00E950CE" w:rsidRDefault="00A2628B">
      <w:pPr>
        <w:spacing w:after="0" w:line="259" w:lineRule="auto"/>
        <w:jc w:val="both"/>
      </w:pPr>
      <w:r>
        <w:t>Le vœu «  Première année commune aux études de santé  (PACES) Île-de-France » comporte 7 sous-vœux correspondant à chacune des UFR médicales franciliennes. Cette organisation particulière est justifiée par le souci d’équilibrer les profils des étudiants admis dans chaque UFR et de donner ainsi à tous, quelle que soit leur UFR d’affectation, les mêmes chances de réussite au concours, compte tenu du numerus clausus.</w:t>
      </w:r>
    </w:p>
    <w:p w:rsidR="00E950CE" w:rsidRDefault="00E950CE">
      <w:pPr>
        <w:spacing w:after="0" w:line="259" w:lineRule="auto"/>
        <w:jc w:val="both"/>
      </w:pPr>
    </w:p>
    <w:p w:rsidR="00E950CE" w:rsidRDefault="00A2628B">
      <w:pPr>
        <w:spacing w:after="0" w:line="259" w:lineRule="auto"/>
        <w:jc w:val="both"/>
      </w:pPr>
      <w:r>
        <w:t>Pour formuler un vœu en PACES hors Île-de-France : voir la fiche n° 4 concernant les vœux multiples.</w:t>
      </w:r>
    </w:p>
    <w:p w:rsidR="00E950CE" w:rsidRDefault="00E950CE">
      <w:pPr>
        <w:spacing w:after="0" w:line="259" w:lineRule="auto"/>
        <w:jc w:val="both"/>
        <w:rPr>
          <w:sz w:val="24"/>
          <w:szCs w:val="24"/>
        </w:rPr>
      </w:pPr>
    </w:p>
    <w:p w:rsidR="00E950CE" w:rsidRDefault="00A2628B">
      <w:pPr>
        <w:spacing w:after="160" w:line="259" w:lineRule="auto"/>
        <w:rPr>
          <w:b/>
          <w:color w:val="3D566E"/>
          <w:sz w:val="28"/>
          <w:szCs w:val="28"/>
        </w:rPr>
      </w:pPr>
      <w:r>
        <w:rPr>
          <w:b/>
          <w:color w:val="3D566E"/>
          <w:sz w:val="28"/>
          <w:szCs w:val="28"/>
        </w:rPr>
        <w:t>Les règles pour formuler un vœu « PACES Ile-de-France »</w:t>
      </w:r>
    </w:p>
    <w:p w:rsidR="00E950CE" w:rsidRDefault="00A2628B">
      <w:pPr>
        <w:numPr>
          <w:ilvl w:val="0"/>
          <w:numId w:val="2"/>
        </w:numPr>
        <w:spacing w:after="0" w:line="259" w:lineRule="auto"/>
        <w:contextualSpacing/>
        <w:jc w:val="both"/>
      </w:pPr>
      <w:r>
        <w:t>il concerne tous les lycéens, quelle que soit leur origine géographique</w:t>
      </w:r>
    </w:p>
    <w:p w:rsidR="00E950CE" w:rsidRDefault="00A2628B">
      <w:pPr>
        <w:numPr>
          <w:ilvl w:val="0"/>
          <w:numId w:val="2"/>
        </w:numPr>
        <w:spacing w:after="0" w:line="259" w:lineRule="auto"/>
        <w:contextualSpacing/>
        <w:jc w:val="both"/>
      </w:pPr>
      <w:r>
        <w:t>les lycéens doivent postuler aux 7 UFR proposées (7 sous-vœux associés au total)</w:t>
      </w:r>
    </w:p>
    <w:p w:rsidR="00E950CE" w:rsidRDefault="00A2628B">
      <w:pPr>
        <w:numPr>
          <w:ilvl w:val="0"/>
          <w:numId w:val="2"/>
        </w:numPr>
        <w:spacing w:after="0" w:line="259" w:lineRule="auto"/>
        <w:contextualSpacing/>
      </w:pPr>
      <w:r>
        <w:t>le vœu « Paces en Île-de-France » ne compte que pour un vœu parmi les 10 vœux possibles</w:t>
      </w:r>
    </w:p>
    <w:p w:rsidR="00E950CE" w:rsidRDefault="00A2628B">
      <w:pPr>
        <w:numPr>
          <w:ilvl w:val="0"/>
          <w:numId w:val="2"/>
        </w:numPr>
        <w:spacing w:after="0" w:line="259" w:lineRule="auto"/>
        <w:contextualSpacing/>
      </w:pPr>
      <w:r>
        <w:t>les 7 sous-vœux ne sont pas comptés dans le nombre total de sous-vœux autorisé dans le cadre des vœux multiples (fixé à 20)</w:t>
      </w:r>
    </w:p>
    <w:p w:rsidR="00E950CE" w:rsidRDefault="00A2628B">
      <w:pPr>
        <w:numPr>
          <w:ilvl w:val="0"/>
          <w:numId w:val="2"/>
        </w:numPr>
        <w:spacing w:after="0" w:line="259" w:lineRule="auto"/>
        <w:contextualSpacing/>
      </w:pPr>
      <w:r>
        <w:t xml:space="preserve">Les lycéens doivent classer les 7 sous-vœux par ordre de préférence </w:t>
      </w:r>
    </w:p>
    <w:p w:rsidR="00E950CE" w:rsidRDefault="00A2628B">
      <w:pPr>
        <w:numPr>
          <w:ilvl w:val="0"/>
          <w:numId w:val="2"/>
        </w:numPr>
        <w:spacing w:after="160" w:line="259" w:lineRule="auto"/>
        <w:contextualSpacing/>
      </w:pPr>
      <w:r>
        <w:t>La modification de l’ordre des sous-vœux est possible jusqu’au 31 mars</w:t>
      </w:r>
    </w:p>
    <w:p w:rsidR="00E950CE" w:rsidRDefault="00E950CE">
      <w:pPr>
        <w:spacing w:after="0" w:line="259" w:lineRule="auto"/>
        <w:jc w:val="both"/>
        <w:rPr>
          <w:sz w:val="24"/>
          <w:szCs w:val="24"/>
        </w:rPr>
      </w:pPr>
    </w:p>
    <w:p w:rsidR="00E950CE" w:rsidRDefault="00A2628B">
      <w:pPr>
        <w:spacing w:after="160" w:line="259" w:lineRule="auto"/>
        <w:rPr>
          <w:b/>
          <w:color w:val="3D566E"/>
          <w:sz w:val="28"/>
          <w:szCs w:val="28"/>
        </w:rPr>
      </w:pPr>
      <w:r>
        <w:rPr>
          <w:b/>
          <w:color w:val="3D566E"/>
          <w:sz w:val="28"/>
          <w:szCs w:val="28"/>
        </w:rPr>
        <w:t>Examen du dossier </w:t>
      </w:r>
    </w:p>
    <w:p w:rsidR="00E950CE" w:rsidRDefault="00A2628B">
      <w:pPr>
        <w:numPr>
          <w:ilvl w:val="0"/>
          <w:numId w:val="2"/>
        </w:numPr>
        <w:spacing w:after="0" w:line="259" w:lineRule="auto"/>
        <w:contextualSpacing/>
      </w:pPr>
      <w:r>
        <w:t xml:space="preserve">Les lycéens doivent constituer un dossier unique qui vaut pour l’ensemble des sous-vœux </w:t>
      </w:r>
    </w:p>
    <w:p w:rsidR="00E950CE" w:rsidRDefault="00A2628B">
      <w:pPr>
        <w:numPr>
          <w:ilvl w:val="0"/>
          <w:numId w:val="2"/>
        </w:numPr>
        <w:spacing w:after="0" w:line="259" w:lineRule="auto"/>
        <w:contextualSpacing/>
      </w:pPr>
      <w:r>
        <w:t>Les éléments pris en compte pour l’examen des dossiers sont communs à toutes les UFR médicales franciliennes et  un traitement unique des dossiers est effectué</w:t>
      </w:r>
    </w:p>
    <w:p w:rsidR="00E950CE" w:rsidRDefault="00A2628B">
      <w:pPr>
        <w:numPr>
          <w:ilvl w:val="0"/>
          <w:numId w:val="2"/>
        </w:numPr>
        <w:spacing w:after="0" w:line="259" w:lineRule="auto"/>
        <w:contextualSpacing/>
      </w:pPr>
      <w:r>
        <w:t xml:space="preserve">Les caractéristiques des formations sont affichées au niveau de l’Unité de formation et de recherche (UFR) Santé d’Ile-de-France </w:t>
      </w:r>
    </w:p>
    <w:p w:rsidR="00E950CE" w:rsidRDefault="00A2628B">
      <w:pPr>
        <w:numPr>
          <w:ilvl w:val="0"/>
          <w:numId w:val="2"/>
        </w:numPr>
        <w:spacing w:after="0" w:line="259" w:lineRule="auto"/>
        <w:contextualSpacing/>
        <w:jc w:val="both"/>
      </w:pPr>
      <w:r>
        <w:t>Le SADEP (Service inter-académique d’Affectation Des Etudiants en PACES) gère les affectations des lycéens</w:t>
      </w:r>
    </w:p>
    <w:p w:rsidR="00E950CE" w:rsidRDefault="00E950CE">
      <w:pPr>
        <w:spacing w:after="0" w:line="259" w:lineRule="auto"/>
        <w:jc w:val="both"/>
        <w:rPr>
          <w:sz w:val="24"/>
          <w:szCs w:val="24"/>
        </w:rPr>
      </w:pPr>
    </w:p>
    <w:p w:rsidR="00E950CE" w:rsidRDefault="00A2628B">
      <w:pPr>
        <w:spacing w:after="160" w:line="259" w:lineRule="auto"/>
        <w:rPr>
          <w:b/>
          <w:color w:val="3D566E"/>
          <w:sz w:val="28"/>
          <w:szCs w:val="28"/>
        </w:rPr>
      </w:pPr>
      <w:r>
        <w:rPr>
          <w:b/>
          <w:color w:val="3D566E"/>
          <w:sz w:val="28"/>
          <w:szCs w:val="28"/>
        </w:rPr>
        <w:t>Les réponses des établissements aux lycéens </w:t>
      </w:r>
    </w:p>
    <w:p w:rsidR="00E950CE" w:rsidRDefault="00A2628B">
      <w:pPr>
        <w:numPr>
          <w:ilvl w:val="0"/>
          <w:numId w:val="1"/>
        </w:numPr>
        <w:spacing w:after="0" w:line="259" w:lineRule="auto"/>
        <w:contextualSpacing/>
        <w:jc w:val="both"/>
      </w:pPr>
      <w:r>
        <w:rPr>
          <w:b/>
        </w:rPr>
        <w:t>Temps 1 :</w:t>
      </w:r>
      <w:r>
        <w:t xml:space="preserve"> à compter du 22 mai, les lycéens sont informés si une place leur est proposée sans précision de leur UFR d’affectation.</w:t>
      </w:r>
    </w:p>
    <w:p w:rsidR="00E950CE" w:rsidRDefault="00A2628B">
      <w:pPr>
        <w:numPr>
          <w:ilvl w:val="0"/>
          <w:numId w:val="1"/>
        </w:numPr>
        <w:spacing w:after="0" w:line="259" w:lineRule="auto"/>
        <w:contextualSpacing/>
        <w:jc w:val="both"/>
      </w:pPr>
      <w:r>
        <w:rPr>
          <w:b/>
        </w:rPr>
        <w:t>Temps 2 </w:t>
      </w:r>
      <w:r>
        <w:t>: après les résultats du baccalauréat, les bacheliers qui ont accepté la proposition sont informés de leur UFR d’affectation. Cette affectation est gérée par le SADEP au prorata du numerus clausus et selon les critères affichés.</w:t>
      </w:r>
    </w:p>
    <w:p w:rsidR="00E950CE" w:rsidRDefault="00E950CE">
      <w:pPr>
        <w:spacing w:after="0" w:line="259" w:lineRule="auto"/>
        <w:jc w:val="both"/>
        <w:rPr>
          <w:b/>
          <w:color w:val="3D566E"/>
          <w:sz w:val="28"/>
          <w:szCs w:val="28"/>
        </w:rPr>
      </w:pPr>
    </w:p>
    <w:p w:rsidR="00E950CE" w:rsidRDefault="00E950CE">
      <w:pPr>
        <w:spacing w:after="0" w:line="259" w:lineRule="auto"/>
        <w:jc w:val="both"/>
        <w:rPr>
          <w:b/>
          <w:color w:val="3D566E"/>
          <w:sz w:val="28"/>
          <w:szCs w:val="28"/>
        </w:rPr>
      </w:pPr>
    </w:p>
    <w:p w:rsidR="00E950CE" w:rsidRDefault="00A2628B">
      <w:pPr>
        <w:spacing w:after="0" w:line="259" w:lineRule="auto"/>
        <w:jc w:val="both"/>
        <w:rPr>
          <w:b/>
          <w:color w:val="3D566E"/>
          <w:sz w:val="28"/>
          <w:szCs w:val="28"/>
        </w:rPr>
      </w:pPr>
      <w:r>
        <w:rPr>
          <w:b/>
          <w:color w:val="3D566E"/>
          <w:sz w:val="28"/>
          <w:szCs w:val="28"/>
        </w:rPr>
        <w:t>Mobilité géographique</w:t>
      </w:r>
    </w:p>
    <w:p w:rsidR="00E950CE" w:rsidRDefault="00A2628B">
      <w:pPr>
        <w:spacing w:after="0" w:line="259" w:lineRule="auto"/>
        <w:jc w:val="both"/>
      </w:pPr>
      <w:r>
        <w:t xml:space="preserve">Rappel : l’UFR de santé d’Ile-de-France accepte des candidats provenant de tout le territoire mais un pourcentage maximum de candidats ne provenant pas de son secteur de recrutement sera fixé par l’autorité académique (région académique). </w:t>
      </w:r>
    </w:p>
    <w:p w:rsidR="00E950CE" w:rsidRDefault="00E950CE">
      <w:pPr>
        <w:spacing w:after="0" w:line="259" w:lineRule="auto"/>
        <w:jc w:val="both"/>
        <w:rPr>
          <w:b/>
          <w:color w:val="3D566E"/>
          <w:sz w:val="24"/>
          <w:szCs w:val="24"/>
        </w:rPr>
      </w:pPr>
    </w:p>
    <w:p w:rsidR="00E950CE" w:rsidRDefault="00A2628B">
      <w:pPr>
        <w:spacing w:after="0" w:line="259" w:lineRule="auto"/>
        <w:jc w:val="both"/>
        <w:rPr>
          <w:b/>
          <w:color w:val="3D566E"/>
          <w:sz w:val="28"/>
          <w:szCs w:val="28"/>
        </w:rPr>
      </w:pPr>
      <w:r>
        <w:rPr>
          <w:b/>
          <w:color w:val="3D566E"/>
          <w:sz w:val="28"/>
          <w:szCs w:val="28"/>
        </w:rPr>
        <w:t xml:space="preserve">Réinscription </w:t>
      </w:r>
    </w:p>
    <w:p w:rsidR="00E950CE" w:rsidRDefault="00A2628B">
      <w:pPr>
        <w:spacing w:after="0" w:line="259" w:lineRule="auto"/>
        <w:jc w:val="both"/>
      </w:pPr>
      <w:r>
        <w:t xml:space="preserve">Comme pour toutes les formations de PACES, les UFR médicales d’Île-de-France ne reçoivent pas via Parcoursup de candidatures des étudiants déjà inscrits en PACES les années précédentes. Ces étudiants doivent s’adresser directement aux UFR concernées. </w:t>
      </w:r>
    </w:p>
    <w:p w:rsidR="00E950CE" w:rsidRDefault="00E950CE">
      <w:pPr>
        <w:spacing w:after="0" w:line="259" w:lineRule="auto"/>
        <w:jc w:val="both"/>
      </w:pPr>
    </w:p>
    <w:p w:rsidR="00E950CE" w:rsidRDefault="00E950CE">
      <w:pPr>
        <w:spacing w:after="0" w:line="259" w:lineRule="auto"/>
        <w:jc w:val="both"/>
      </w:pPr>
    </w:p>
    <w:p w:rsidR="00E950CE" w:rsidRDefault="00E950CE">
      <w:pPr>
        <w:keepNext/>
        <w:keepLines/>
        <w:spacing w:after="0"/>
        <w:jc w:val="center"/>
      </w:pPr>
    </w:p>
    <w:sectPr w:rsidR="00E950CE">
      <w:headerReference w:type="default" r:id="rId8"/>
      <w:footerReference w:type="even" r:id="rId9"/>
      <w:footerReference w:type="default" r:id="rId10"/>
      <w:pgSz w:w="11906" w:h="16838"/>
      <w:pgMar w:top="1440" w:right="1080" w:bottom="144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55B" w:rsidRDefault="002F255B">
      <w:pPr>
        <w:spacing w:after="0" w:line="240" w:lineRule="auto"/>
      </w:pPr>
      <w:r>
        <w:separator/>
      </w:r>
    </w:p>
  </w:endnote>
  <w:endnote w:type="continuationSeparator" w:id="0">
    <w:p w:rsidR="002F255B" w:rsidRDefault="002F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CE" w:rsidRDefault="00E950CE">
    <w:pPr>
      <w:tabs>
        <w:tab w:val="center" w:pos="4536"/>
        <w:tab w:val="right" w:pos="9072"/>
      </w:tabs>
      <w:spacing w:after="0" w:line="240" w:lineRule="auto"/>
      <w:jc w:val="right"/>
    </w:pPr>
  </w:p>
  <w:p w:rsidR="00E950CE" w:rsidRDefault="00E950CE">
    <w:pPr>
      <w:tabs>
        <w:tab w:val="center" w:pos="4536"/>
        <w:tab w:val="right" w:pos="9072"/>
      </w:tabs>
      <w:spacing w:after="68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CE" w:rsidRDefault="00A2628B">
    <w:pPr>
      <w:tabs>
        <w:tab w:val="center" w:pos="4536"/>
        <w:tab w:val="right" w:pos="9072"/>
      </w:tabs>
      <w:spacing w:after="0" w:line="240" w:lineRule="auto"/>
      <w:jc w:val="right"/>
    </w:pPr>
    <w:r>
      <w:t>Fiche 10 – Formuler un vœu PACES Île-de-France</w:t>
    </w:r>
    <w:r>
      <w:tab/>
    </w:r>
    <w:r>
      <w:tab/>
    </w:r>
    <w:r>
      <w:tab/>
    </w:r>
    <w:r>
      <w:fldChar w:fldCharType="begin"/>
    </w:r>
    <w:r>
      <w:instrText>PAGE</w:instrText>
    </w:r>
    <w:r>
      <w:fldChar w:fldCharType="separate"/>
    </w:r>
    <w:r w:rsidR="00555B6D">
      <w:rPr>
        <w:noProof/>
      </w:rPr>
      <w:t>1</w:t>
    </w:r>
    <w:r>
      <w:fldChar w:fldCharType="end"/>
    </w:r>
  </w:p>
  <w:p w:rsidR="00E950CE" w:rsidRDefault="00E950CE">
    <w:pPr>
      <w:tabs>
        <w:tab w:val="center" w:pos="4536"/>
        <w:tab w:val="right" w:pos="9072"/>
      </w:tabs>
      <w:spacing w:after="68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55B" w:rsidRDefault="002F255B">
      <w:pPr>
        <w:spacing w:after="0" w:line="240" w:lineRule="auto"/>
      </w:pPr>
      <w:r>
        <w:separator/>
      </w:r>
    </w:p>
  </w:footnote>
  <w:footnote w:type="continuationSeparator" w:id="0">
    <w:p w:rsidR="002F255B" w:rsidRDefault="002F25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0CE" w:rsidRDefault="00A2628B">
    <w:pPr>
      <w:tabs>
        <w:tab w:val="center" w:pos="4536"/>
        <w:tab w:val="right" w:pos="9072"/>
      </w:tabs>
      <w:spacing w:before="708" w:after="0" w:line="240" w:lineRule="auto"/>
      <w:jc w:val="center"/>
    </w:pPr>
    <w:r>
      <w:rPr>
        <w:noProof/>
      </w:rPr>
      <w:drawing>
        <wp:inline distT="0" distB="0" distL="0" distR="0">
          <wp:extent cx="3529410" cy="1260000"/>
          <wp:effectExtent l="0" t="0" r="0" b="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529410" cy="1260000"/>
                  </a:xfrm>
                  <a:prstGeom prst="rect">
                    <a:avLst/>
                  </a:prstGeom>
                  <a:ln/>
                </pic:spPr>
              </pic:pic>
            </a:graphicData>
          </a:graphic>
        </wp:inline>
      </w:drawing>
    </w:r>
    <w:r>
      <w:rPr>
        <w:noProof/>
      </w:rPr>
      <w:drawing>
        <wp:inline distT="0" distB="0" distL="0" distR="0">
          <wp:extent cx="651228" cy="12600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651228" cy="1260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86BE2"/>
    <w:multiLevelType w:val="multilevel"/>
    <w:tmpl w:val="0E1208C0"/>
    <w:lvl w:ilvl="0">
      <w:start w:val="1"/>
      <w:numFmt w:val="bullet"/>
      <w:lvlText w:val="●"/>
      <w:lvlJc w:val="left"/>
      <w:pPr>
        <w:ind w:left="840" w:hanging="360"/>
      </w:pPr>
      <w:rPr>
        <w:rFonts w:ascii="Arial" w:eastAsia="Arial" w:hAnsi="Arial" w:cs="Arial"/>
      </w:rPr>
    </w:lvl>
    <w:lvl w:ilvl="1">
      <w:start w:val="1"/>
      <w:numFmt w:val="bullet"/>
      <w:lvlText w:val="o"/>
      <w:lvlJc w:val="left"/>
      <w:pPr>
        <w:ind w:left="1560" w:hanging="360"/>
      </w:pPr>
      <w:rPr>
        <w:rFonts w:ascii="Arial" w:eastAsia="Arial" w:hAnsi="Arial" w:cs="Arial"/>
      </w:rPr>
    </w:lvl>
    <w:lvl w:ilvl="2">
      <w:start w:val="1"/>
      <w:numFmt w:val="bullet"/>
      <w:lvlText w:val="▪"/>
      <w:lvlJc w:val="left"/>
      <w:pPr>
        <w:ind w:left="2280" w:hanging="360"/>
      </w:pPr>
      <w:rPr>
        <w:rFonts w:ascii="Arial" w:eastAsia="Arial" w:hAnsi="Arial" w:cs="Arial"/>
      </w:rPr>
    </w:lvl>
    <w:lvl w:ilvl="3">
      <w:start w:val="1"/>
      <w:numFmt w:val="bullet"/>
      <w:lvlText w:val="●"/>
      <w:lvlJc w:val="left"/>
      <w:pPr>
        <w:ind w:left="3000" w:hanging="360"/>
      </w:pPr>
      <w:rPr>
        <w:rFonts w:ascii="Arial" w:eastAsia="Arial" w:hAnsi="Arial" w:cs="Arial"/>
      </w:rPr>
    </w:lvl>
    <w:lvl w:ilvl="4">
      <w:start w:val="1"/>
      <w:numFmt w:val="bullet"/>
      <w:lvlText w:val="o"/>
      <w:lvlJc w:val="left"/>
      <w:pPr>
        <w:ind w:left="3720" w:hanging="360"/>
      </w:pPr>
      <w:rPr>
        <w:rFonts w:ascii="Arial" w:eastAsia="Arial" w:hAnsi="Arial" w:cs="Arial"/>
      </w:rPr>
    </w:lvl>
    <w:lvl w:ilvl="5">
      <w:start w:val="1"/>
      <w:numFmt w:val="bullet"/>
      <w:lvlText w:val="▪"/>
      <w:lvlJc w:val="left"/>
      <w:pPr>
        <w:ind w:left="4440" w:hanging="360"/>
      </w:pPr>
      <w:rPr>
        <w:rFonts w:ascii="Arial" w:eastAsia="Arial" w:hAnsi="Arial" w:cs="Arial"/>
      </w:rPr>
    </w:lvl>
    <w:lvl w:ilvl="6">
      <w:start w:val="1"/>
      <w:numFmt w:val="bullet"/>
      <w:lvlText w:val="●"/>
      <w:lvlJc w:val="left"/>
      <w:pPr>
        <w:ind w:left="5160" w:hanging="360"/>
      </w:pPr>
      <w:rPr>
        <w:rFonts w:ascii="Arial" w:eastAsia="Arial" w:hAnsi="Arial" w:cs="Arial"/>
      </w:rPr>
    </w:lvl>
    <w:lvl w:ilvl="7">
      <w:start w:val="1"/>
      <w:numFmt w:val="bullet"/>
      <w:lvlText w:val="o"/>
      <w:lvlJc w:val="left"/>
      <w:pPr>
        <w:ind w:left="5880" w:hanging="360"/>
      </w:pPr>
      <w:rPr>
        <w:rFonts w:ascii="Arial" w:eastAsia="Arial" w:hAnsi="Arial" w:cs="Arial"/>
      </w:rPr>
    </w:lvl>
    <w:lvl w:ilvl="8">
      <w:start w:val="1"/>
      <w:numFmt w:val="bullet"/>
      <w:lvlText w:val="▪"/>
      <w:lvlJc w:val="left"/>
      <w:pPr>
        <w:ind w:left="6600" w:hanging="360"/>
      </w:pPr>
      <w:rPr>
        <w:rFonts w:ascii="Arial" w:eastAsia="Arial" w:hAnsi="Arial" w:cs="Arial"/>
      </w:rPr>
    </w:lvl>
  </w:abstractNum>
  <w:abstractNum w:abstractNumId="1">
    <w:nsid w:val="5E3A2514"/>
    <w:multiLevelType w:val="multilevel"/>
    <w:tmpl w:val="2D78C37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950CE"/>
    <w:rsid w:val="002F255B"/>
    <w:rsid w:val="00555B6D"/>
    <w:rsid w:val="008E32CF"/>
    <w:rsid w:val="00A2628B"/>
    <w:rsid w:val="00E950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DA"/>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basedOn w:val="Normal"/>
    <w:uiPriority w:val="34"/>
    <w:qFormat/>
    <w:rsid w:val="00394ADA"/>
    <w:pPr>
      <w:ind w:left="720"/>
      <w:contextualSpacing/>
    </w:pPr>
  </w:style>
  <w:style w:type="paragraph" w:customStyle="1" w:styleId="Corps">
    <w:name w:val="Corps"/>
    <w:rsid w:val="00394ADA"/>
    <w:rPr>
      <w:u w:color="000000"/>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fr-FR" w:eastAsia="fr-F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DA"/>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link w:val="Titre2Car"/>
    <w:uiPriority w:val="9"/>
    <w:unhideWhenUsed/>
    <w:qFormat/>
    <w:rsid w:val="00C05B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Paragraphedeliste">
    <w:name w:val="List Paragraph"/>
    <w:basedOn w:val="Normal"/>
    <w:uiPriority w:val="34"/>
    <w:qFormat/>
    <w:rsid w:val="00394ADA"/>
    <w:pPr>
      <w:ind w:left="720"/>
      <w:contextualSpacing/>
    </w:pPr>
  </w:style>
  <w:style w:type="paragraph" w:customStyle="1" w:styleId="Corps">
    <w:name w:val="Corps"/>
    <w:rsid w:val="00394ADA"/>
    <w:rPr>
      <w:u w:color="000000"/>
    </w:rPr>
  </w:style>
  <w:style w:type="paragraph" w:styleId="Textedebulles">
    <w:name w:val="Balloon Text"/>
    <w:basedOn w:val="Normal"/>
    <w:link w:val="TextedebullesCar"/>
    <w:uiPriority w:val="99"/>
    <w:semiHidden/>
    <w:unhideWhenUsed/>
    <w:rsid w:val="00050CB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50CBB"/>
    <w:rPr>
      <w:rFonts w:ascii="Tahoma" w:hAnsi="Tahoma" w:cs="Tahoma"/>
      <w:sz w:val="16"/>
      <w:szCs w:val="16"/>
    </w:rPr>
  </w:style>
  <w:style w:type="character" w:styleId="Marquedecommentaire">
    <w:name w:val="annotation reference"/>
    <w:basedOn w:val="Policepardfaut"/>
    <w:uiPriority w:val="99"/>
    <w:semiHidden/>
    <w:unhideWhenUsed/>
    <w:rsid w:val="00F84A35"/>
    <w:rPr>
      <w:sz w:val="16"/>
      <w:szCs w:val="16"/>
    </w:rPr>
  </w:style>
  <w:style w:type="paragraph" w:styleId="Commentaire">
    <w:name w:val="annotation text"/>
    <w:basedOn w:val="Normal"/>
    <w:link w:val="CommentaireCar"/>
    <w:uiPriority w:val="99"/>
    <w:semiHidden/>
    <w:unhideWhenUsed/>
    <w:rsid w:val="00F84A35"/>
    <w:pPr>
      <w:spacing w:line="240" w:lineRule="auto"/>
    </w:pPr>
    <w:rPr>
      <w:sz w:val="20"/>
      <w:szCs w:val="20"/>
    </w:rPr>
  </w:style>
  <w:style w:type="character" w:customStyle="1" w:styleId="CommentaireCar">
    <w:name w:val="Commentaire Car"/>
    <w:basedOn w:val="Policepardfaut"/>
    <w:link w:val="Commentaire"/>
    <w:uiPriority w:val="99"/>
    <w:semiHidden/>
    <w:rsid w:val="00F84A35"/>
    <w:rPr>
      <w:sz w:val="20"/>
      <w:szCs w:val="20"/>
    </w:rPr>
  </w:style>
  <w:style w:type="paragraph" w:styleId="Objetducommentaire">
    <w:name w:val="annotation subject"/>
    <w:basedOn w:val="Commentaire"/>
    <w:next w:val="Commentaire"/>
    <w:link w:val="ObjetducommentaireCar"/>
    <w:uiPriority w:val="99"/>
    <w:semiHidden/>
    <w:unhideWhenUsed/>
    <w:rsid w:val="00F84A35"/>
    <w:rPr>
      <w:b/>
      <w:bCs/>
    </w:rPr>
  </w:style>
  <w:style w:type="character" w:customStyle="1" w:styleId="ObjetducommentaireCar">
    <w:name w:val="Objet du commentaire Car"/>
    <w:basedOn w:val="CommentaireCar"/>
    <w:link w:val="Objetducommentaire"/>
    <w:uiPriority w:val="99"/>
    <w:semiHidden/>
    <w:rsid w:val="00F84A35"/>
    <w:rPr>
      <w:b/>
      <w:bCs/>
      <w:sz w:val="20"/>
      <w:szCs w:val="20"/>
    </w:rPr>
  </w:style>
  <w:style w:type="paragraph" w:styleId="En-tte">
    <w:name w:val="header"/>
    <w:basedOn w:val="Normal"/>
    <w:link w:val="En-tteCar"/>
    <w:uiPriority w:val="99"/>
    <w:unhideWhenUsed/>
    <w:rsid w:val="00B10FF5"/>
    <w:pPr>
      <w:tabs>
        <w:tab w:val="center" w:pos="4536"/>
        <w:tab w:val="right" w:pos="9072"/>
      </w:tabs>
      <w:spacing w:after="0" w:line="240" w:lineRule="auto"/>
    </w:pPr>
  </w:style>
  <w:style w:type="character" w:customStyle="1" w:styleId="En-tteCar">
    <w:name w:val="En-tête Car"/>
    <w:basedOn w:val="Policepardfaut"/>
    <w:link w:val="En-tte"/>
    <w:uiPriority w:val="99"/>
    <w:rsid w:val="00B10FF5"/>
  </w:style>
  <w:style w:type="paragraph" w:styleId="Pieddepage">
    <w:name w:val="footer"/>
    <w:basedOn w:val="Normal"/>
    <w:link w:val="PieddepageCar"/>
    <w:uiPriority w:val="99"/>
    <w:unhideWhenUsed/>
    <w:rsid w:val="00B10F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0FF5"/>
  </w:style>
  <w:style w:type="character" w:customStyle="1" w:styleId="Titre2Car">
    <w:name w:val="Titre 2 Car"/>
    <w:basedOn w:val="Policepardfaut"/>
    <w:link w:val="Titre2"/>
    <w:uiPriority w:val="9"/>
    <w:rsid w:val="00C05B3F"/>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HOUDA SAID</dc:creator>
  <cp:lastModifiedBy>Anaelle WEISS</cp:lastModifiedBy>
  <cp:revision>2</cp:revision>
  <dcterms:created xsi:type="dcterms:W3CDTF">2018-01-08T16:42:00Z</dcterms:created>
  <dcterms:modified xsi:type="dcterms:W3CDTF">2018-01-08T16:42:00Z</dcterms:modified>
</cp:coreProperties>
</file>