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CE" w:rsidRPr="00847333" w:rsidRDefault="00941041" w:rsidP="00731CEB">
      <w:pPr>
        <w:jc w:val="both"/>
        <w:rPr>
          <w:rFonts w:ascii="Arial" w:hAnsi="Arial" w:cs="Arial"/>
          <w:b/>
          <w:sz w:val="22"/>
          <w:szCs w:val="22"/>
        </w:rPr>
      </w:pPr>
      <w:r w:rsidRPr="00847333">
        <w:rPr>
          <w:rFonts w:ascii="Arial" w:hAnsi="Arial" w:cs="Arial"/>
          <w:b/>
          <w:sz w:val="22"/>
          <w:szCs w:val="22"/>
        </w:rPr>
        <w:t>CONFIGURA</w:t>
      </w:r>
      <w:r w:rsidR="00D84A4F">
        <w:rPr>
          <w:rFonts w:ascii="Arial" w:hAnsi="Arial" w:cs="Arial"/>
          <w:b/>
          <w:sz w:val="22"/>
          <w:szCs w:val="22"/>
        </w:rPr>
        <w:t>TIONS ET TRANSFORMATIONS DE L’ESPACE</w:t>
      </w:r>
    </w:p>
    <w:p w:rsidR="00941041" w:rsidRDefault="00941041" w:rsidP="00E41EB7">
      <w:pPr>
        <w:rPr>
          <w:rFonts w:ascii="Arial" w:hAnsi="Arial" w:cs="Arial"/>
          <w:sz w:val="20"/>
          <w:szCs w:val="20"/>
        </w:rPr>
      </w:pPr>
      <w:r w:rsidRPr="00E41EB7">
        <w:rPr>
          <w:rFonts w:ascii="Arial" w:hAnsi="Arial" w:cs="Arial"/>
          <w:sz w:val="20"/>
          <w:szCs w:val="20"/>
        </w:rPr>
        <w:t>Ce module fixe les fondamentaux</w:t>
      </w:r>
      <w:r w:rsidR="00D84A4F" w:rsidRPr="00E41EB7">
        <w:rPr>
          <w:rFonts w:ascii="Arial" w:hAnsi="Arial" w:cs="Arial"/>
          <w:sz w:val="20"/>
          <w:szCs w:val="20"/>
        </w:rPr>
        <w:t xml:space="preserve"> en matière de géométrie de l’espace</w:t>
      </w:r>
      <w:r w:rsidRPr="00E41EB7">
        <w:rPr>
          <w:rFonts w:ascii="Arial" w:hAnsi="Arial" w:cs="Arial"/>
          <w:sz w:val="20"/>
          <w:szCs w:val="20"/>
        </w:rPr>
        <w:t xml:space="preserve"> euclidien : </w:t>
      </w:r>
      <w:r w:rsidR="00D84A4F" w:rsidRPr="00E41EB7">
        <w:rPr>
          <w:rFonts w:ascii="Arial" w:hAnsi="Arial" w:cs="Arial"/>
          <w:sz w:val="20"/>
          <w:szCs w:val="20"/>
        </w:rPr>
        <w:t xml:space="preserve">plans, sphères, </w:t>
      </w:r>
      <w:r w:rsidRPr="00E41EB7">
        <w:rPr>
          <w:rFonts w:ascii="Arial" w:hAnsi="Arial" w:cs="Arial"/>
          <w:sz w:val="20"/>
          <w:szCs w:val="20"/>
        </w:rPr>
        <w:t>repérage d’un point</w:t>
      </w:r>
      <w:r w:rsidR="00DB1849" w:rsidRPr="00E41EB7">
        <w:rPr>
          <w:rFonts w:ascii="Arial" w:hAnsi="Arial" w:cs="Arial"/>
          <w:sz w:val="20"/>
          <w:szCs w:val="20"/>
        </w:rPr>
        <w:t>, outils de calcul</w:t>
      </w:r>
      <w:r w:rsidRPr="00E41EB7">
        <w:rPr>
          <w:rFonts w:ascii="Arial" w:hAnsi="Arial" w:cs="Arial"/>
          <w:sz w:val="20"/>
          <w:szCs w:val="20"/>
        </w:rPr>
        <w:t>.</w:t>
      </w:r>
      <w:r w:rsidR="009717E8" w:rsidRPr="00E41EB7">
        <w:rPr>
          <w:rFonts w:ascii="Arial" w:hAnsi="Arial" w:cs="Arial"/>
          <w:sz w:val="20"/>
          <w:szCs w:val="20"/>
        </w:rPr>
        <w:t xml:space="preserve"> On illustrera le cours de croquis et d’images, et on appor</w:t>
      </w:r>
      <w:r w:rsidR="00545151" w:rsidRPr="00E41EB7">
        <w:rPr>
          <w:rFonts w:ascii="Arial" w:hAnsi="Arial" w:cs="Arial"/>
          <w:sz w:val="20"/>
          <w:szCs w:val="20"/>
        </w:rPr>
        <w:t>tera d</w:t>
      </w:r>
      <w:r w:rsidR="009717E8" w:rsidRPr="00E41EB7">
        <w:rPr>
          <w:rFonts w:ascii="Arial" w:hAnsi="Arial" w:cs="Arial"/>
          <w:sz w:val="20"/>
          <w:szCs w:val="20"/>
        </w:rPr>
        <w:t>es objets correspondant aux formes décrites.</w:t>
      </w:r>
    </w:p>
    <w:p w:rsidR="00E41EB7" w:rsidRDefault="00E41EB7" w:rsidP="00E41EB7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41EB7" w:rsidTr="00623E76">
        <w:tc>
          <w:tcPr>
            <w:tcW w:w="3070" w:type="dxa"/>
            <w:vAlign w:val="center"/>
          </w:tcPr>
          <w:p w:rsidR="00E41EB7" w:rsidRPr="00E41EB7" w:rsidRDefault="00E41EB7" w:rsidP="00E41E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1EB7">
              <w:rPr>
                <w:rFonts w:ascii="Arial" w:hAnsi="Arial" w:cs="Arial"/>
                <w:b/>
                <w:sz w:val="20"/>
                <w:szCs w:val="20"/>
              </w:rPr>
              <w:t>CONTENUS</w:t>
            </w:r>
          </w:p>
        </w:tc>
        <w:tc>
          <w:tcPr>
            <w:tcW w:w="3071" w:type="dxa"/>
            <w:vAlign w:val="center"/>
          </w:tcPr>
          <w:p w:rsidR="00E41EB7" w:rsidRPr="00E41EB7" w:rsidRDefault="00E41EB7" w:rsidP="00EC7C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EB7">
              <w:rPr>
                <w:rFonts w:ascii="Arial" w:hAnsi="Arial" w:cs="Arial"/>
                <w:b/>
                <w:sz w:val="20"/>
                <w:szCs w:val="20"/>
              </w:rPr>
              <w:t>CAPACITÉS ATTENDUES</w:t>
            </w:r>
          </w:p>
        </w:tc>
        <w:tc>
          <w:tcPr>
            <w:tcW w:w="3071" w:type="dxa"/>
            <w:vAlign w:val="center"/>
          </w:tcPr>
          <w:p w:rsidR="00E41EB7" w:rsidRPr="00E41EB7" w:rsidRDefault="00E41EB7" w:rsidP="00EC7C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EB7">
              <w:rPr>
                <w:rFonts w:ascii="Arial" w:hAnsi="Arial" w:cs="Arial"/>
                <w:b/>
                <w:sz w:val="20"/>
                <w:szCs w:val="20"/>
              </w:rPr>
              <w:t>COMMENTAIRES</w:t>
            </w:r>
          </w:p>
        </w:tc>
      </w:tr>
      <w:tr w:rsidR="00E41EB7" w:rsidTr="00E41EB7">
        <w:tc>
          <w:tcPr>
            <w:tcW w:w="3070" w:type="dxa"/>
          </w:tcPr>
          <w:p w:rsidR="00E41EB7" w:rsidRPr="00E41EB7" w:rsidRDefault="00E41EB7" w:rsidP="00E41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EB7">
              <w:rPr>
                <w:rFonts w:ascii="Arial" w:hAnsi="Arial" w:cs="Arial"/>
                <w:b/>
                <w:sz w:val="20"/>
                <w:szCs w:val="20"/>
              </w:rPr>
              <w:t>Géométrie analytique.</w:t>
            </w: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Coordonnées cartésiennes d’un point dans un repère orthono</w:t>
            </w:r>
            <w:r w:rsidRPr="00E41EB7">
              <w:rPr>
                <w:rFonts w:ascii="Arial" w:hAnsi="Arial" w:cs="Arial"/>
                <w:sz w:val="20"/>
                <w:szCs w:val="20"/>
              </w:rPr>
              <w:t>r</w:t>
            </w:r>
            <w:r w:rsidRPr="00E41EB7">
              <w:rPr>
                <w:rFonts w:ascii="Arial" w:hAnsi="Arial" w:cs="Arial"/>
                <w:sz w:val="20"/>
                <w:szCs w:val="20"/>
              </w:rPr>
              <w:t>mé, coordonnées cylindriques, coordonnées sphériques. Di</w:t>
            </w:r>
            <w:r w:rsidRPr="00E41EB7">
              <w:rPr>
                <w:rFonts w:ascii="Arial" w:hAnsi="Arial" w:cs="Arial"/>
                <w:sz w:val="20"/>
                <w:szCs w:val="20"/>
              </w:rPr>
              <w:t>s</w:t>
            </w:r>
            <w:r w:rsidRPr="00E41EB7">
              <w:rPr>
                <w:rFonts w:ascii="Arial" w:hAnsi="Arial" w:cs="Arial"/>
                <w:sz w:val="20"/>
                <w:szCs w:val="20"/>
              </w:rPr>
              <w:t>tance entre deux points, équ</w:t>
            </w:r>
            <w:r w:rsidRPr="00E41EB7">
              <w:rPr>
                <w:rFonts w:ascii="Arial" w:hAnsi="Arial" w:cs="Arial"/>
                <w:sz w:val="20"/>
                <w:szCs w:val="20"/>
              </w:rPr>
              <w:t>a</w:t>
            </w:r>
            <w:r w:rsidRPr="00E41EB7">
              <w:rPr>
                <w:rFonts w:ascii="Arial" w:hAnsi="Arial" w:cs="Arial"/>
                <w:sz w:val="20"/>
                <w:szCs w:val="20"/>
              </w:rPr>
              <w:t>tion cartésienne d’une sphère de centre et de rayon donnés.</w:t>
            </w:r>
          </w:p>
        </w:tc>
        <w:tc>
          <w:tcPr>
            <w:tcW w:w="3071" w:type="dxa"/>
          </w:tcPr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P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 xml:space="preserve">Passer d’un système à l’autre. </w:t>
            </w: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P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On observera le déplacement qu’entrainent séparément une petite variation de chaque p</w:t>
            </w:r>
            <w:r w:rsidRPr="00E41EB7">
              <w:rPr>
                <w:rFonts w:ascii="Arial" w:hAnsi="Arial" w:cs="Arial"/>
                <w:sz w:val="20"/>
                <w:szCs w:val="20"/>
              </w:rPr>
              <w:t>a</w:t>
            </w:r>
            <w:r w:rsidRPr="00E41EB7">
              <w:rPr>
                <w:rFonts w:ascii="Arial" w:hAnsi="Arial" w:cs="Arial"/>
                <w:sz w:val="20"/>
                <w:szCs w:val="20"/>
              </w:rPr>
              <w:t>ramètre de positionnement.</w:t>
            </w: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EB7" w:rsidTr="00E41EB7">
        <w:tc>
          <w:tcPr>
            <w:tcW w:w="3070" w:type="dxa"/>
          </w:tcPr>
          <w:p w:rsidR="00E41EB7" w:rsidRPr="00E41EB7" w:rsidRDefault="00E41EB7" w:rsidP="00E41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EB7">
              <w:rPr>
                <w:rFonts w:ascii="Arial" w:hAnsi="Arial" w:cs="Arial"/>
                <w:b/>
                <w:sz w:val="20"/>
                <w:szCs w:val="20"/>
              </w:rPr>
              <w:t>Produit scalaire et produit vectoriel entre deux vecteurs de l’espace.</w:t>
            </w:r>
          </w:p>
          <w:p w:rsidR="00E41EB7" w:rsidRP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Vecteurs de l’espace. A</w:t>
            </w:r>
            <w:r w:rsidRPr="00E41EB7">
              <w:rPr>
                <w:rFonts w:ascii="Arial" w:hAnsi="Arial" w:cs="Arial"/>
                <w:sz w:val="20"/>
                <w:szCs w:val="20"/>
              </w:rPr>
              <w:t>p</w:t>
            </w:r>
            <w:r w:rsidRPr="00E41EB7">
              <w:rPr>
                <w:rFonts w:ascii="Arial" w:hAnsi="Arial" w:cs="Arial"/>
                <w:sz w:val="20"/>
                <w:szCs w:val="20"/>
              </w:rPr>
              <w:t>proches géométrique et anal</w:t>
            </w:r>
            <w:r w:rsidRPr="00E41EB7">
              <w:rPr>
                <w:rFonts w:ascii="Arial" w:hAnsi="Arial" w:cs="Arial"/>
                <w:sz w:val="20"/>
                <w:szCs w:val="20"/>
              </w:rPr>
              <w:t>y</w:t>
            </w:r>
            <w:r w:rsidRPr="00E41EB7">
              <w:rPr>
                <w:rFonts w:ascii="Arial" w:hAnsi="Arial" w:cs="Arial"/>
                <w:sz w:val="20"/>
                <w:szCs w:val="20"/>
              </w:rPr>
              <w:t>tique du produit scalaire. Bil</w:t>
            </w:r>
            <w:r w:rsidRPr="00E41EB7">
              <w:rPr>
                <w:rFonts w:ascii="Arial" w:hAnsi="Arial" w:cs="Arial"/>
                <w:sz w:val="20"/>
                <w:szCs w:val="20"/>
              </w:rPr>
              <w:t>i</w:t>
            </w:r>
            <w:r w:rsidRPr="00E41EB7">
              <w:rPr>
                <w:rFonts w:ascii="Arial" w:hAnsi="Arial" w:cs="Arial"/>
                <w:sz w:val="20"/>
                <w:szCs w:val="20"/>
              </w:rPr>
              <w:t>néarité, symétrie. Norme eucl</w:t>
            </w:r>
            <w:r w:rsidRPr="00E41EB7">
              <w:rPr>
                <w:rFonts w:ascii="Arial" w:hAnsi="Arial" w:cs="Arial"/>
                <w:sz w:val="20"/>
                <w:szCs w:val="20"/>
              </w:rPr>
              <w:t>i</w:t>
            </w:r>
            <w:r w:rsidRPr="00E41EB7">
              <w:rPr>
                <w:rFonts w:ascii="Arial" w:hAnsi="Arial" w:cs="Arial"/>
                <w:sz w:val="20"/>
                <w:szCs w:val="20"/>
              </w:rPr>
              <w:t xml:space="preserve">dienne. Équation normale d’un plan, Distance d’un point à un plan. Intersection de plans. </w:t>
            </w:r>
          </w:p>
          <w:p w:rsidR="00E41EB7" w:rsidRP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P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Approches géométrique et an</w:t>
            </w:r>
            <w:r w:rsidRPr="00E41EB7">
              <w:rPr>
                <w:rFonts w:ascii="Arial" w:hAnsi="Arial" w:cs="Arial"/>
                <w:sz w:val="20"/>
                <w:szCs w:val="20"/>
              </w:rPr>
              <w:t>a</w:t>
            </w:r>
            <w:r w:rsidRPr="00E41EB7">
              <w:rPr>
                <w:rFonts w:ascii="Arial" w:hAnsi="Arial" w:cs="Arial"/>
                <w:sz w:val="20"/>
                <w:szCs w:val="20"/>
              </w:rPr>
              <w:t>lytique du produit vectoriel. Propriétés du produit vectoriel. Équation d’un plan donné par trois points, un point et un ve</w:t>
            </w:r>
            <w:r w:rsidRPr="00E41EB7">
              <w:rPr>
                <w:rFonts w:ascii="Arial" w:hAnsi="Arial" w:cs="Arial"/>
                <w:sz w:val="20"/>
                <w:szCs w:val="20"/>
              </w:rPr>
              <w:t>c</w:t>
            </w:r>
            <w:r w:rsidRPr="00E41EB7">
              <w:rPr>
                <w:rFonts w:ascii="Arial" w:hAnsi="Arial" w:cs="Arial"/>
                <w:sz w:val="20"/>
                <w:szCs w:val="20"/>
              </w:rPr>
              <w:t>teur normal.</w:t>
            </w: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P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Réaliser une projection sur une droite ou sur un plan. Tester si un angle est droit, aigu, obtus, plat. Déterminer l’équation no</w:t>
            </w:r>
            <w:r w:rsidRPr="00E41EB7">
              <w:rPr>
                <w:rFonts w:ascii="Arial" w:hAnsi="Arial" w:cs="Arial"/>
                <w:sz w:val="20"/>
                <w:szCs w:val="20"/>
              </w:rPr>
              <w:t>r</w:t>
            </w:r>
            <w:r w:rsidRPr="00E41EB7">
              <w:rPr>
                <w:rFonts w:ascii="Arial" w:hAnsi="Arial" w:cs="Arial"/>
                <w:sz w:val="20"/>
                <w:szCs w:val="20"/>
              </w:rPr>
              <w:t>male d’un plan. Calculer la di</w:t>
            </w:r>
            <w:r w:rsidRPr="00E41EB7">
              <w:rPr>
                <w:rFonts w:ascii="Arial" w:hAnsi="Arial" w:cs="Arial"/>
                <w:sz w:val="20"/>
                <w:szCs w:val="20"/>
              </w:rPr>
              <w:t>s</w:t>
            </w:r>
            <w:r w:rsidRPr="00E41EB7">
              <w:rPr>
                <w:rFonts w:ascii="Arial" w:hAnsi="Arial" w:cs="Arial"/>
                <w:sz w:val="20"/>
                <w:szCs w:val="20"/>
              </w:rPr>
              <w:t>tance d’un point à un plan. Donner le plan tangent à une sphère en un point.</w:t>
            </w: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P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Calculer la distance d’un point à une droite, par exemple à l’aide d’un produit vectoriel.</w:t>
            </w: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P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Les propriétés du produit sc</w:t>
            </w:r>
            <w:r w:rsidRPr="00E41EB7">
              <w:rPr>
                <w:rFonts w:ascii="Arial" w:hAnsi="Arial" w:cs="Arial"/>
                <w:sz w:val="20"/>
                <w:szCs w:val="20"/>
              </w:rPr>
              <w:t>a</w:t>
            </w:r>
            <w:r w:rsidRPr="00E41EB7">
              <w:rPr>
                <w:rFonts w:ascii="Arial" w:hAnsi="Arial" w:cs="Arial"/>
                <w:sz w:val="20"/>
                <w:szCs w:val="20"/>
              </w:rPr>
              <w:t>laire dans l’espace sont a</w:t>
            </w:r>
            <w:r w:rsidRPr="00E41EB7">
              <w:rPr>
                <w:rFonts w:ascii="Arial" w:hAnsi="Arial" w:cs="Arial"/>
                <w:sz w:val="20"/>
                <w:szCs w:val="20"/>
              </w:rPr>
              <w:t>d</w:t>
            </w:r>
            <w:r w:rsidRPr="00E41EB7">
              <w:rPr>
                <w:rFonts w:ascii="Arial" w:hAnsi="Arial" w:cs="Arial"/>
                <w:sz w:val="20"/>
                <w:szCs w:val="20"/>
              </w:rPr>
              <w:t>mises.</w:t>
            </w: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On constatera, sur l’exemple d’un plan coupé par une hor</w:t>
            </w:r>
            <w:r w:rsidRPr="00E41EB7">
              <w:rPr>
                <w:rFonts w:ascii="Arial" w:hAnsi="Arial" w:cs="Arial"/>
                <w:sz w:val="20"/>
                <w:szCs w:val="20"/>
              </w:rPr>
              <w:t>i</w:t>
            </w:r>
            <w:r w:rsidRPr="00E41EB7">
              <w:rPr>
                <w:rFonts w:ascii="Arial" w:hAnsi="Arial" w:cs="Arial"/>
                <w:sz w:val="20"/>
                <w:szCs w:val="20"/>
              </w:rPr>
              <w:t>zontale, que la direction de plus grande pente est orthogonale à la ligne de niveau.</w:t>
            </w: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P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Les propriétés du produit vect</w:t>
            </w:r>
            <w:r w:rsidRPr="00E41EB7">
              <w:rPr>
                <w:rFonts w:ascii="Arial" w:hAnsi="Arial" w:cs="Arial"/>
                <w:sz w:val="20"/>
                <w:szCs w:val="20"/>
              </w:rPr>
              <w:t>o</w:t>
            </w:r>
            <w:r w:rsidRPr="00E41EB7">
              <w:rPr>
                <w:rFonts w:ascii="Arial" w:hAnsi="Arial" w:cs="Arial"/>
                <w:sz w:val="20"/>
                <w:szCs w:val="20"/>
              </w:rPr>
              <w:t>riel sont posées (comme point de départ) ou admises.</w:t>
            </w: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EB7" w:rsidTr="00E41EB7">
        <w:tc>
          <w:tcPr>
            <w:tcW w:w="3070" w:type="dxa"/>
          </w:tcPr>
          <w:p w:rsidR="00E41EB7" w:rsidRPr="00E41EB7" w:rsidRDefault="00E41EB7" w:rsidP="00E41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EB7">
              <w:rPr>
                <w:rFonts w:ascii="Arial" w:hAnsi="Arial" w:cs="Arial"/>
                <w:b/>
                <w:sz w:val="20"/>
                <w:szCs w:val="20"/>
              </w:rPr>
              <w:t>Triangles de l’espace.</w:t>
            </w:r>
          </w:p>
          <w:p w:rsidR="00E41EB7" w:rsidRP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 xml:space="preserve">Périmètre, aire, vecteur normal. </w:t>
            </w: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P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Appliquer les formules en situ</w:t>
            </w:r>
            <w:r w:rsidRPr="00E41EB7">
              <w:rPr>
                <w:rFonts w:ascii="Arial" w:hAnsi="Arial" w:cs="Arial"/>
                <w:sz w:val="20"/>
                <w:szCs w:val="20"/>
              </w:rPr>
              <w:t>a</w:t>
            </w:r>
            <w:r w:rsidRPr="00E41EB7">
              <w:rPr>
                <w:rFonts w:ascii="Arial" w:hAnsi="Arial" w:cs="Arial"/>
                <w:sz w:val="20"/>
                <w:szCs w:val="20"/>
              </w:rPr>
              <w:t>tion.</w:t>
            </w: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EB7" w:rsidTr="00E41EB7">
        <w:tc>
          <w:tcPr>
            <w:tcW w:w="3070" w:type="dxa"/>
          </w:tcPr>
          <w:p w:rsidR="00E41EB7" w:rsidRPr="00E41EB7" w:rsidRDefault="00E41EB7" w:rsidP="00E41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EB7">
              <w:rPr>
                <w:rFonts w:ascii="Arial" w:hAnsi="Arial" w:cs="Arial"/>
                <w:b/>
                <w:sz w:val="20"/>
                <w:szCs w:val="20"/>
              </w:rPr>
              <w:t>Sphéroïde.</w:t>
            </w:r>
          </w:p>
          <w:p w:rsidR="00E41EB7" w:rsidRP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Équation cartésienne réduite.</w:t>
            </w: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P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Dessiner en perspective et p</w:t>
            </w:r>
            <w:r w:rsidRPr="00E41EB7">
              <w:rPr>
                <w:rFonts w:ascii="Arial" w:hAnsi="Arial" w:cs="Arial"/>
                <w:sz w:val="20"/>
                <w:szCs w:val="20"/>
              </w:rPr>
              <w:t>a</w:t>
            </w:r>
            <w:r w:rsidRPr="00E41EB7">
              <w:rPr>
                <w:rFonts w:ascii="Arial" w:hAnsi="Arial" w:cs="Arial"/>
                <w:sz w:val="20"/>
                <w:szCs w:val="20"/>
              </w:rPr>
              <w:t>ramétrer un sphéroïde.</w:t>
            </w: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L’ellipsoïde de révolution est généré par la rotation d’une ellipse autour d’un de ses axes de symétrie.</w:t>
            </w:r>
          </w:p>
        </w:tc>
      </w:tr>
      <w:tr w:rsidR="00E41EB7" w:rsidTr="00E41EB7">
        <w:tc>
          <w:tcPr>
            <w:tcW w:w="3070" w:type="dxa"/>
          </w:tcPr>
          <w:p w:rsidR="00E41EB7" w:rsidRPr="00E41EB7" w:rsidRDefault="00E41EB7" w:rsidP="00E41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EB7">
              <w:rPr>
                <w:rFonts w:ascii="Arial" w:hAnsi="Arial" w:cs="Arial"/>
                <w:b/>
                <w:sz w:val="20"/>
                <w:szCs w:val="20"/>
              </w:rPr>
              <w:t>Transformations usuelles</w:t>
            </w:r>
          </w:p>
          <w:p w:rsidR="00E41EB7" w:rsidRP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Translations. Rotations axiales. Réflexions. Homothéties.</w:t>
            </w: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Connaître les effets</w:t>
            </w:r>
            <w:r>
              <w:rPr>
                <w:rFonts w:ascii="Arial" w:hAnsi="Arial" w:cs="Arial"/>
                <w:sz w:val="20"/>
                <w:szCs w:val="20"/>
              </w:rPr>
              <w:t xml:space="preserve"> des tran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formations</w:t>
            </w:r>
            <w:r w:rsidRPr="00E41EB7">
              <w:rPr>
                <w:rFonts w:ascii="Arial" w:hAnsi="Arial" w:cs="Arial"/>
                <w:sz w:val="20"/>
                <w:szCs w:val="20"/>
              </w:rPr>
              <w:t xml:space="preserve"> sur les segments, les distances, le parallélisme, les angles géométriques, les aires, les volumes</w:t>
            </w:r>
          </w:p>
        </w:tc>
        <w:tc>
          <w:tcPr>
            <w:tcW w:w="3071" w:type="dxa"/>
          </w:tcPr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P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Les expressions analytiques de ces transformations ne sont pas exigibles.</w:t>
            </w: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EB7" w:rsidRP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  <w:r w:rsidRPr="00E41EB7">
              <w:rPr>
                <w:rFonts w:ascii="Arial" w:hAnsi="Arial" w:cs="Arial"/>
                <w:sz w:val="20"/>
                <w:szCs w:val="20"/>
              </w:rPr>
              <w:t>D’autres transformations, non nécessairement affines, en particulier des « projections » mettant à plat un solide, pou</w:t>
            </w:r>
            <w:r w:rsidRPr="00E41EB7">
              <w:rPr>
                <w:rFonts w:ascii="Arial" w:hAnsi="Arial" w:cs="Arial"/>
                <w:sz w:val="20"/>
                <w:szCs w:val="20"/>
              </w:rPr>
              <w:t>r</w:t>
            </w:r>
            <w:r w:rsidRPr="00E41EB7">
              <w:rPr>
                <w:rFonts w:ascii="Arial" w:hAnsi="Arial" w:cs="Arial"/>
                <w:sz w:val="20"/>
                <w:szCs w:val="20"/>
              </w:rPr>
              <w:t>ront être envisagées selon la spécialité.</w:t>
            </w:r>
          </w:p>
          <w:p w:rsidR="00E41EB7" w:rsidRDefault="00E41EB7" w:rsidP="00E41E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1EB7" w:rsidRPr="00E41EB7" w:rsidRDefault="00E41EB7" w:rsidP="00E41EB7">
      <w:pPr>
        <w:rPr>
          <w:rFonts w:ascii="Arial" w:hAnsi="Arial" w:cs="Arial"/>
          <w:sz w:val="20"/>
          <w:szCs w:val="20"/>
        </w:rPr>
      </w:pPr>
    </w:p>
    <w:p w:rsidR="00982A43" w:rsidRPr="00E41EB7" w:rsidRDefault="00982A43" w:rsidP="00E41EB7">
      <w:pPr>
        <w:rPr>
          <w:rFonts w:ascii="Arial" w:hAnsi="Arial" w:cs="Arial"/>
          <w:sz w:val="20"/>
          <w:szCs w:val="20"/>
        </w:rPr>
      </w:pPr>
    </w:p>
    <w:p w:rsidR="00982A43" w:rsidRPr="00395708" w:rsidRDefault="00982A43" w:rsidP="002B4F1F">
      <w:pPr>
        <w:jc w:val="both"/>
      </w:pPr>
    </w:p>
    <w:sectPr w:rsidR="00982A43" w:rsidRPr="00395708" w:rsidSect="00941041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1D" w:rsidRDefault="0014321D" w:rsidP="00731CEB">
      <w:r>
        <w:separator/>
      </w:r>
    </w:p>
  </w:endnote>
  <w:endnote w:type="continuationSeparator" w:id="0">
    <w:p w:rsidR="0014321D" w:rsidRDefault="0014321D" w:rsidP="0073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CE" w:rsidRPr="00C41DCE" w:rsidRDefault="00C41DCE" w:rsidP="00744556">
    <w:pPr>
      <w:pStyle w:val="Pieddepage"/>
      <w:tabs>
        <w:tab w:val="left" w:pos="311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1D" w:rsidRDefault="0014321D" w:rsidP="00731CEB">
      <w:r>
        <w:separator/>
      </w:r>
    </w:p>
  </w:footnote>
  <w:footnote w:type="continuationSeparator" w:id="0">
    <w:p w:rsidR="0014321D" w:rsidRDefault="0014321D" w:rsidP="00731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BCE"/>
    <w:rsid w:val="00003384"/>
    <w:rsid w:val="00020E91"/>
    <w:rsid w:val="000211D1"/>
    <w:rsid w:val="00022B03"/>
    <w:rsid w:val="00023FE4"/>
    <w:rsid w:val="00031CA0"/>
    <w:rsid w:val="000344C3"/>
    <w:rsid w:val="0003487B"/>
    <w:rsid w:val="00043A00"/>
    <w:rsid w:val="00043F76"/>
    <w:rsid w:val="00060627"/>
    <w:rsid w:val="000655CC"/>
    <w:rsid w:val="00066E93"/>
    <w:rsid w:val="000946B6"/>
    <w:rsid w:val="000A2DF1"/>
    <w:rsid w:val="000C26CE"/>
    <w:rsid w:val="000C5ACE"/>
    <w:rsid w:val="000E5F00"/>
    <w:rsid w:val="000F584D"/>
    <w:rsid w:val="000F6DD6"/>
    <w:rsid w:val="0010358E"/>
    <w:rsid w:val="00106058"/>
    <w:rsid w:val="0012006F"/>
    <w:rsid w:val="0012598C"/>
    <w:rsid w:val="001326FC"/>
    <w:rsid w:val="0014321D"/>
    <w:rsid w:val="00152D6D"/>
    <w:rsid w:val="00152E22"/>
    <w:rsid w:val="00171811"/>
    <w:rsid w:val="001945C1"/>
    <w:rsid w:val="00194CB6"/>
    <w:rsid w:val="001956EE"/>
    <w:rsid w:val="001A326B"/>
    <w:rsid w:val="001A4D52"/>
    <w:rsid w:val="001C12EE"/>
    <w:rsid w:val="001C3FA5"/>
    <w:rsid w:val="001C5A9E"/>
    <w:rsid w:val="001D3FC2"/>
    <w:rsid w:val="00200EF5"/>
    <w:rsid w:val="0021103D"/>
    <w:rsid w:val="0021752F"/>
    <w:rsid w:val="002245FD"/>
    <w:rsid w:val="00230279"/>
    <w:rsid w:val="00241734"/>
    <w:rsid w:val="00251CC8"/>
    <w:rsid w:val="00272B66"/>
    <w:rsid w:val="00277C45"/>
    <w:rsid w:val="002833D6"/>
    <w:rsid w:val="00295919"/>
    <w:rsid w:val="002B4F1F"/>
    <w:rsid w:val="002C7307"/>
    <w:rsid w:val="002D3244"/>
    <w:rsid w:val="002D7F34"/>
    <w:rsid w:val="002E1440"/>
    <w:rsid w:val="002F2655"/>
    <w:rsid w:val="002F566C"/>
    <w:rsid w:val="002F6E4D"/>
    <w:rsid w:val="00304C69"/>
    <w:rsid w:val="00333ACB"/>
    <w:rsid w:val="00342B6C"/>
    <w:rsid w:val="003530A4"/>
    <w:rsid w:val="003539B0"/>
    <w:rsid w:val="00361B52"/>
    <w:rsid w:val="00367B1C"/>
    <w:rsid w:val="00374C8C"/>
    <w:rsid w:val="00375DCC"/>
    <w:rsid w:val="003912A5"/>
    <w:rsid w:val="003953AA"/>
    <w:rsid w:val="00395708"/>
    <w:rsid w:val="003B72BD"/>
    <w:rsid w:val="003C1986"/>
    <w:rsid w:val="003C2A51"/>
    <w:rsid w:val="003C7889"/>
    <w:rsid w:val="003D00CC"/>
    <w:rsid w:val="003D1190"/>
    <w:rsid w:val="003D54F2"/>
    <w:rsid w:val="003E21C9"/>
    <w:rsid w:val="003F66F0"/>
    <w:rsid w:val="004037DB"/>
    <w:rsid w:val="0041365D"/>
    <w:rsid w:val="004143B4"/>
    <w:rsid w:val="0041499C"/>
    <w:rsid w:val="00420553"/>
    <w:rsid w:val="004258EA"/>
    <w:rsid w:val="004417CE"/>
    <w:rsid w:val="00445E24"/>
    <w:rsid w:val="0044626B"/>
    <w:rsid w:val="00496895"/>
    <w:rsid w:val="0049758E"/>
    <w:rsid w:val="004A28C6"/>
    <w:rsid w:val="004B6416"/>
    <w:rsid w:val="004C6819"/>
    <w:rsid w:val="004C7FF0"/>
    <w:rsid w:val="004D48F6"/>
    <w:rsid w:val="004D6BCE"/>
    <w:rsid w:val="004D7C1E"/>
    <w:rsid w:val="005001F8"/>
    <w:rsid w:val="00502406"/>
    <w:rsid w:val="00506556"/>
    <w:rsid w:val="00513F9E"/>
    <w:rsid w:val="005320BA"/>
    <w:rsid w:val="00537F21"/>
    <w:rsid w:val="005448C7"/>
    <w:rsid w:val="00545151"/>
    <w:rsid w:val="00552821"/>
    <w:rsid w:val="00553AE0"/>
    <w:rsid w:val="005649E1"/>
    <w:rsid w:val="00566B3C"/>
    <w:rsid w:val="00574396"/>
    <w:rsid w:val="005A3B2E"/>
    <w:rsid w:val="005A6ED3"/>
    <w:rsid w:val="005B4F8A"/>
    <w:rsid w:val="005B5635"/>
    <w:rsid w:val="005C4A35"/>
    <w:rsid w:val="005C5058"/>
    <w:rsid w:val="005D5FB5"/>
    <w:rsid w:val="00600E45"/>
    <w:rsid w:val="00625490"/>
    <w:rsid w:val="006427CF"/>
    <w:rsid w:val="00680ACD"/>
    <w:rsid w:val="00690348"/>
    <w:rsid w:val="00690C32"/>
    <w:rsid w:val="0069391D"/>
    <w:rsid w:val="006A01E5"/>
    <w:rsid w:val="006A6549"/>
    <w:rsid w:val="006C47F3"/>
    <w:rsid w:val="006E5245"/>
    <w:rsid w:val="00706E86"/>
    <w:rsid w:val="0072341B"/>
    <w:rsid w:val="00731CEB"/>
    <w:rsid w:val="007411E8"/>
    <w:rsid w:val="00744556"/>
    <w:rsid w:val="00763BE9"/>
    <w:rsid w:val="007929C3"/>
    <w:rsid w:val="007A4A1B"/>
    <w:rsid w:val="007B0789"/>
    <w:rsid w:val="007D1E9D"/>
    <w:rsid w:val="007F61EE"/>
    <w:rsid w:val="00803A1E"/>
    <w:rsid w:val="00804651"/>
    <w:rsid w:val="0082072D"/>
    <w:rsid w:val="0082335C"/>
    <w:rsid w:val="008234B5"/>
    <w:rsid w:val="0082424D"/>
    <w:rsid w:val="008261E1"/>
    <w:rsid w:val="00843713"/>
    <w:rsid w:val="00847333"/>
    <w:rsid w:val="00860825"/>
    <w:rsid w:val="00867229"/>
    <w:rsid w:val="008906B8"/>
    <w:rsid w:val="008970C9"/>
    <w:rsid w:val="008A2ADB"/>
    <w:rsid w:val="008A3F73"/>
    <w:rsid w:val="008B566B"/>
    <w:rsid w:val="008C3BEA"/>
    <w:rsid w:val="008C5302"/>
    <w:rsid w:val="008C6870"/>
    <w:rsid w:val="008C7464"/>
    <w:rsid w:val="008E02BB"/>
    <w:rsid w:val="0090128D"/>
    <w:rsid w:val="009277E4"/>
    <w:rsid w:val="00933241"/>
    <w:rsid w:val="00937340"/>
    <w:rsid w:val="00941041"/>
    <w:rsid w:val="00946030"/>
    <w:rsid w:val="0096446A"/>
    <w:rsid w:val="009717E8"/>
    <w:rsid w:val="00982A43"/>
    <w:rsid w:val="00995AB6"/>
    <w:rsid w:val="009A0C87"/>
    <w:rsid w:val="009A5C43"/>
    <w:rsid w:val="009A6E3F"/>
    <w:rsid w:val="009B2ACA"/>
    <w:rsid w:val="009C2EE7"/>
    <w:rsid w:val="009E7688"/>
    <w:rsid w:val="00A05D89"/>
    <w:rsid w:val="00A10009"/>
    <w:rsid w:val="00A10BCA"/>
    <w:rsid w:val="00A145B8"/>
    <w:rsid w:val="00A40E18"/>
    <w:rsid w:val="00A4331A"/>
    <w:rsid w:val="00A46C45"/>
    <w:rsid w:val="00A47F7C"/>
    <w:rsid w:val="00A5388B"/>
    <w:rsid w:val="00A55DD3"/>
    <w:rsid w:val="00A60538"/>
    <w:rsid w:val="00A73962"/>
    <w:rsid w:val="00A76D8C"/>
    <w:rsid w:val="00A94451"/>
    <w:rsid w:val="00A94B7B"/>
    <w:rsid w:val="00AA6A3F"/>
    <w:rsid w:val="00AB3B9D"/>
    <w:rsid w:val="00AB6252"/>
    <w:rsid w:val="00AC5E06"/>
    <w:rsid w:val="00AC6EE1"/>
    <w:rsid w:val="00AD31F4"/>
    <w:rsid w:val="00AF0FB8"/>
    <w:rsid w:val="00AF1E49"/>
    <w:rsid w:val="00B3275F"/>
    <w:rsid w:val="00B4131B"/>
    <w:rsid w:val="00B42F18"/>
    <w:rsid w:val="00B47077"/>
    <w:rsid w:val="00B75AD4"/>
    <w:rsid w:val="00B91CFA"/>
    <w:rsid w:val="00B93F12"/>
    <w:rsid w:val="00B94154"/>
    <w:rsid w:val="00BA79B7"/>
    <w:rsid w:val="00BB66CC"/>
    <w:rsid w:val="00BC697D"/>
    <w:rsid w:val="00BC795F"/>
    <w:rsid w:val="00BD1D83"/>
    <w:rsid w:val="00C0438F"/>
    <w:rsid w:val="00C0462F"/>
    <w:rsid w:val="00C31DDD"/>
    <w:rsid w:val="00C3652E"/>
    <w:rsid w:val="00C36948"/>
    <w:rsid w:val="00C41DCE"/>
    <w:rsid w:val="00C42886"/>
    <w:rsid w:val="00C46653"/>
    <w:rsid w:val="00C561F5"/>
    <w:rsid w:val="00C576A5"/>
    <w:rsid w:val="00C60640"/>
    <w:rsid w:val="00C62DAC"/>
    <w:rsid w:val="00C678B5"/>
    <w:rsid w:val="00C75465"/>
    <w:rsid w:val="00C773D1"/>
    <w:rsid w:val="00C8744B"/>
    <w:rsid w:val="00C92E72"/>
    <w:rsid w:val="00C934F0"/>
    <w:rsid w:val="00CA3111"/>
    <w:rsid w:val="00CA337F"/>
    <w:rsid w:val="00CA7218"/>
    <w:rsid w:val="00CC0489"/>
    <w:rsid w:val="00CC2CB9"/>
    <w:rsid w:val="00CC4B9D"/>
    <w:rsid w:val="00CD4568"/>
    <w:rsid w:val="00CD62EE"/>
    <w:rsid w:val="00CD7C36"/>
    <w:rsid w:val="00CE12BF"/>
    <w:rsid w:val="00CE53E5"/>
    <w:rsid w:val="00D025CE"/>
    <w:rsid w:val="00D22F6C"/>
    <w:rsid w:val="00D30933"/>
    <w:rsid w:val="00D35EC9"/>
    <w:rsid w:val="00D44D13"/>
    <w:rsid w:val="00D544B5"/>
    <w:rsid w:val="00D610BE"/>
    <w:rsid w:val="00D62A8B"/>
    <w:rsid w:val="00D659D8"/>
    <w:rsid w:val="00D76517"/>
    <w:rsid w:val="00D8230D"/>
    <w:rsid w:val="00D84A4F"/>
    <w:rsid w:val="00D85D3A"/>
    <w:rsid w:val="00D8726F"/>
    <w:rsid w:val="00DA7C09"/>
    <w:rsid w:val="00DB1849"/>
    <w:rsid w:val="00DC205C"/>
    <w:rsid w:val="00DC4421"/>
    <w:rsid w:val="00DD2DC0"/>
    <w:rsid w:val="00DD47E2"/>
    <w:rsid w:val="00DE0F18"/>
    <w:rsid w:val="00DE230F"/>
    <w:rsid w:val="00DE4E7A"/>
    <w:rsid w:val="00DE70DD"/>
    <w:rsid w:val="00DF6136"/>
    <w:rsid w:val="00DF70B9"/>
    <w:rsid w:val="00E05E8F"/>
    <w:rsid w:val="00E12F66"/>
    <w:rsid w:val="00E14EFF"/>
    <w:rsid w:val="00E15F26"/>
    <w:rsid w:val="00E35181"/>
    <w:rsid w:val="00E41EB7"/>
    <w:rsid w:val="00E421EE"/>
    <w:rsid w:val="00E570DF"/>
    <w:rsid w:val="00E67D93"/>
    <w:rsid w:val="00E73A75"/>
    <w:rsid w:val="00E75AD4"/>
    <w:rsid w:val="00E80004"/>
    <w:rsid w:val="00E86168"/>
    <w:rsid w:val="00E869EE"/>
    <w:rsid w:val="00E96D91"/>
    <w:rsid w:val="00EC2810"/>
    <w:rsid w:val="00EC3A03"/>
    <w:rsid w:val="00EE1017"/>
    <w:rsid w:val="00F03A6A"/>
    <w:rsid w:val="00F41349"/>
    <w:rsid w:val="00F44614"/>
    <w:rsid w:val="00F55EF8"/>
    <w:rsid w:val="00F85AEE"/>
    <w:rsid w:val="00F91C5F"/>
    <w:rsid w:val="00FB57A6"/>
    <w:rsid w:val="00FD0244"/>
    <w:rsid w:val="00FD5EB3"/>
    <w:rsid w:val="00FF6B2F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30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85AEE"/>
    <w:rPr>
      <w:color w:val="808080"/>
    </w:rPr>
  </w:style>
  <w:style w:type="paragraph" w:styleId="Textedebulles">
    <w:name w:val="Balloon Text"/>
    <w:basedOn w:val="Normal"/>
    <w:link w:val="TextedebullesCar"/>
    <w:rsid w:val="00F8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5AEE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731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CE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31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CEB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85AEE"/>
    <w:rPr>
      <w:color w:val="808080"/>
    </w:rPr>
  </w:style>
  <w:style w:type="paragraph" w:styleId="Textedebulles">
    <w:name w:val="Balloon Text"/>
    <w:basedOn w:val="Normal"/>
    <w:link w:val="TextedebullesCar"/>
    <w:rsid w:val="00F8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5AEE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731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CE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31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CEB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82BA-043B-490E-BDE0-98768491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TRANSFORMÉE DE FOURIER DISCRÈTE</vt:lpstr>
    </vt:vector>
  </TitlesOfParts>
  <Company>MEN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TRANSFORMÉE DE FOURIER DISCRÈTE</dc:title>
  <dc:creator>MEN</dc:creator>
  <cp:lastModifiedBy>KZ</cp:lastModifiedBy>
  <cp:revision>2</cp:revision>
  <dcterms:created xsi:type="dcterms:W3CDTF">2015-11-23T15:02:00Z</dcterms:created>
  <dcterms:modified xsi:type="dcterms:W3CDTF">2015-11-23T15:02:00Z</dcterms:modified>
</cp:coreProperties>
</file>